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1C7C35" w:rsidP="006951D8">
            <w:pPr>
              <w:tabs>
                <w:tab w:val="left" w:pos="4007"/>
              </w:tabs>
              <w:spacing w:after="0" w:line="240" w:lineRule="auto"/>
            </w:pPr>
            <w:r>
              <w:t>10.11</w:t>
            </w:r>
            <w:r w:rsidR="00B37F81">
              <w:t>.20</w:t>
            </w:r>
            <w:r w:rsidR="003857EB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46A33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4A" w:rsidRDefault="0051474A" w:rsidP="005147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zh</w:t>
            </w:r>
            <w:r w:rsidR="002779C7">
              <w:rPr>
                <w:rFonts w:ascii="Times New Roman" w:hAnsi="Times New Roman"/>
              </w:rPr>
              <w:t>odnotiť precvičovanie vedomostí o vnútornej kompozícii vybraných žánrov na hodinách literatúry</w:t>
            </w:r>
            <w:r>
              <w:rPr>
                <w:rFonts w:ascii="Times New Roman" w:hAnsi="Times New Roman"/>
              </w:rPr>
              <w:t xml:space="preserve"> na I. a II.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74A" w:rsidRDefault="00505E56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="0051474A">
              <w:rPr>
                <w:rFonts w:ascii="Times New Roman" w:hAnsi="Times New Roman"/>
                <w:b/>
              </w:rPr>
              <w:t xml:space="preserve">: </w:t>
            </w:r>
            <w:r w:rsidR="00E67A69">
              <w:rPr>
                <w:rFonts w:ascii="Times New Roman" w:hAnsi="Times New Roman"/>
              </w:rPr>
              <w:t>literárne dielo, literárn</w:t>
            </w:r>
            <w:r w:rsidR="002779C7">
              <w:rPr>
                <w:rFonts w:ascii="Times New Roman" w:hAnsi="Times New Roman"/>
              </w:rPr>
              <w:t>y žáner, vnútorná kompozícia literárneho diela, literárna postava, priama reč, pásmo rozprávača</w:t>
            </w:r>
          </w:p>
          <w:p w:rsidR="00A57496" w:rsidRPr="007B6C7D" w:rsidRDefault="0051474A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681F84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Vnútorná kompozícia literárneho diela</w:t>
            </w:r>
          </w:p>
          <w:p w:rsidR="00681F84" w:rsidRDefault="00681F84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Roviny a fázy vnútornej kompozície</w:t>
            </w:r>
          </w:p>
          <w:p w:rsidR="00681F84" w:rsidRDefault="00681F84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Kompozičné postupy </w:t>
            </w:r>
          </w:p>
          <w:p w:rsidR="007B35E2" w:rsidRPr="001C7C35" w:rsidRDefault="007B35E2" w:rsidP="001C7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7B35E2" w:rsidP="001C7C3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Pr="00B472AA" w:rsidRDefault="007B35E2" w:rsidP="00B472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Pr="00A260BA" w:rsidRDefault="0051474A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</w:t>
            </w:r>
            <w:r w:rsidR="003857EB">
              <w:rPr>
                <w:rFonts w:ascii="Times New Roman" w:hAnsi="Times New Roman"/>
              </w:rPr>
              <w:t xml:space="preserve"> Literárne žánre I</w:t>
            </w:r>
            <w:r w:rsidR="001C7C35">
              <w:rPr>
                <w:rFonts w:ascii="Times New Roman" w:hAnsi="Times New Roman"/>
              </w:rPr>
              <w:t>I</w:t>
            </w:r>
            <w:r w:rsidR="003857EB">
              <w:rPr>
                <w:rFonts w:ascii="Times New Roman" w:hAnsi="Times New Roman"/>
              </w:rPr>
              <w:t>.</w:t>
            </w:r>
          </w:p>
          <w:p w:rsidR="007B35E2" w:rsidRDefault="007B35E2" w:rsidP="007B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788C" w:rsidRDefault="007B35E2" w:rsidP="000E174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C7C35">
              <w:rPr>
                <w:rFonts w:ascii="Times New Roman" w:hAnsi="Times New Roman"/>
              </w:rPr>
              <w:t>V </w:t>
            </w:r>
            <w:r w:rsidR="00E0170E">
              <w:rPr>
                <w:rFonts w:ascii="Times New Roman" w:hAnsi="Times New Roman"/>
              </w:rPr>
              <w:t>úvode</w:t>
            </w:r>
            <w:r w:rsidR="001C7C35">
              <w:rPr>
                <w:rFonts w:ascii="Times New Roman" w:hAnsi="Times New Roman"/>
              </w:rPr>
              <w:t xml:space="preserve"> členky klubu plynulo nadviazali na ostatné</w:t>
            </w:r>
            <w:r w:rsidR="00E0170E">
              <w:rPr>
                <w:rFonts w:ascii="Times New Roman" w:hAnsi="Times New Roman"/>
              </w:rPr>
              <w:t xml:space="preserve"> stretnutie klubu slovenského jazyka a literatúry a venovali sa vnútornej kompozícii literárnych žánrov vo  vybraných ročníkoch základnej školy.  Na hodinách literatúry sa vyučujúci venujú so svojimi žiakmi vnútornej kompozícii – a to hneď v dvoch rovinách</w:t>
            </w:r>
            <w:r w:rsidR="002F788C">
              <w:rPr>
                <w:rFonts w:ascii="Times New Roman" w:hAnsi="Times New Roman"/>
              </w:rPr>
              <w:t>: v rovine deja a v rovine významu.</w:t>
            </w:r>
          </w:p>
          <w:p w:rsidR="002F788C" w:rsidRDefault="002F788C" w:rsidP="000E174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F1C12">
              <w:rPr>
                <w:rFonts w:ascii="Times New Roman" w:hAnsi="Times New Roman"/>
              </w:rPr>
              <w:t>V rovine deja sa žiaci učia</w:t>
            </w:r>
            <w:r>
              <w:rPr>
                <w:rFonts w:ascii="Times New Roman" w:hAnsi="Times New Roman"/>
              </w:rPr>
              <w:t xml:space="preserve">, že dej sa vyvíja vďaka konfiktu a samotný konflikt má niekoľko fáz: expozícia (úvod, oboznámenie sa s prostredím, dejom), kolízia (zápletka, zauzlenie deja), </w:t>
            </w:r>
          </w:p>
          <w:p w:rsidR="004F1C12" w:rsidRDefault="004F1C12" w:rsidP="004F1C1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F788C">
              <w:rPr>
                <w:rFonts w:ascii="Times New Roman" w:hAnsi="Times New Roman"/>
              </w:rPr>
              <w:t>ríza (konflikt, stupňovanie, vyvrcholenie deja),</w:t>
            </w:r>
            <w:r>
              <w:rPr>
                <w:rFonts w:ascii="Times New Roman" w:hAnsi="Times New Roman"/>
              </w:rPr>
              <w:t xml:space="preserve"> </w:t>
            </w:r>
            <w:r w:rsidR="002F788C">
              <w:rPr>
                <w:rFonts w:ascii="Times New Roman" w:hAnsi="Times New Roman"/>
              </w:rPr>
              <w:t xml:space="preserve"> peripetia (obrat, nečakané spomalenie) a katastrofa (záver, riešenie konfliktu). V druhej rovine – v rovine významu – sa ži</w:t>
            </w:r>
            <w:r>
              <w:rPr>
                <w:rFonts w:ascii="Times New Roman" w:hAnsi="Times New Roman"/>
              </w:rPr>
              <w:t>a</w:t>
            </w:r>
            <w:r w:rsidR="002F788C">
              <w:rPr>
                <w:rFonts w:ascii="Times New Roman" w:hAnsi="Times New Roman"/>
              </w:rPr>
              <w:t xml:space="preserve">ci oboznamujú s tým, čo chcel autor príbehom povedať, </w:t>
            </w:r>
            <w:r>
              <w:rPr>
                <w:rFonts w:ascii="Times New Roman" w:hAnsi="Times New Roman"/>
              </w:rPr>
              <w:t>teda s autorovým</w:t>
            </w:r>
            <w:r w:rsidR="002F788C">
              <w:rPr>
                <w:rFonts w:ascii="Times New Roman" w:hAnsi="Times New Roman"/>
              </w:rPr>
              <w:t xml:space="preserve"> posolstv</w:t>
            </w:r>
            <w:r>
              <w:rPr>
                <w:rFonts w:ascii="Times New Roman" w:hAnsi="Times New Roman"/>
              </w:rPr>
              <w:t>om.</w:t>
            </w:r>
          </w:p>
          <w:p w:rsidR="00F305BB" w:rsidRPr="007B6C7D" w:rsidRDefault="004F1C12" w:rsidP="00CE56B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Okrem toho sa žiaci stretávajú aj s kompozičným postupom, ktorý tvorí jednotiaci princíp výstavby textu. Na hodinách literatúry sa vo vybraných ročníkoch najčastejšie objavuje v</w:t>
            </w:r>
            <w:r w:rsidR="003651B3">
              <w:rPr>
                <w:rFonts w:ascii="Times New Roman" w:hAnsi="Times New Roman"/>
              </w:rPr>
              <w:t xml:space="preserve">  jednotlivých ukážkach</w:t>
            </w:r>
            <w:r>
              <w:rPr>
                <w:rFonts w:ascii="Times New Roman" w:hAnsi="Times New Roman"/>
              </w:rPr>
              <w:t xml:space="preserve"> </w:t>
            </w:r>
            <w:r w:rsidR="003651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chronologický kompozičný postup</w:t>
            </w:r>
            <w:r w:rsidRPr="004F1C12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:</w:t>
            </w:r>
            <w:r w:rsidRPr="004F1C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epický príbeh sa rozvíja v časovej následnosti, dej sujetu = dej fabuly.</w:t>
            </w:r>
            <w:r w:rsid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Vo vyšších ročníkoch žiaci narazia aj </w:t>
            </w:r>
            <w:r w:rsidR="003651B3" w:rsidRP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na </w:t>
            </w:r>
            <w:r w:rsidR="003651B3" w:rsidRPr="003651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retrospektívny</w:t>
            </w:r>
            <w:r w:rsidR="003651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kompozičný postup, ktorý tvorí</w:t>
            </w:r>
            <w:r w:rsid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návrat do minulosti - </w:t>
            </w:r>
            <w:r w:rsidR="003651B3" w:rsidRP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autor naznačí udalosť a potom sa vráti do minulosti, aby ju objasnil</w:t>
            </w:r>
            <w:r w:rsid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Pri kratších epických žánroch nie je problém pre žiakov pracovať aj s kompozičným </w:t>
            </w:r>
            <w:r w:rsidR="003651B3" w:rsidRP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postupom </w:t>
            </w:r>
            <w:r w:rsidR="003651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in medias res – to znamená</w:t>
            </w:r>
            <w:r w:rsidR="003651B3" w:rsidRPr="003651B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vpadnutie priamo do deja, bez úvodu</w:t>
            </w:r>
            <w:r w:rsidR="003651B3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  <w:r w:rsidR="00CE56B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E56BC">
        <w:trPr>
          <w:trHeight w:val="3685"/>
        </w:trPr>
        <w:tc>
          <w:tcPr>
            <w:tcW w:w="9212" w:type="dxa"/>
          </w:tcPr>
          <w:p w:rsidR="00F305BB" w:rsidRPr="00E24D2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24D2F" w:rsidRPr="00E24D2F" w:rsidRDefault="00E24D2F" w:rsidP="00E24D2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E24D2F" w:rsidP="00B472A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651B3">
              <w:rPr>
                <w:rFonts w:ascii="Times New Roman" w:hAnsi="Times New Roman"/>
              </w:rPr>
              <w:t xml:space="preserve">Záver stretnutia patril zhrnutiu a konštatovaniu, že žiaci vo vybraných ročníkoch na hodinách literatúry ešte stále radi nahlas čítajú, vďaka čomu lepšie vnímajú jednotlivé aspekty vnútornej kompozície literárnych žánrov. Tento fakt pomáha aj fixovať </w:t>
            </w:r>
            <w:r w:rsidR="0088601A">
              <w:rPr>
                <w:rFonts w:ascii="Times New Roman" w:hAnsi="Times New Roman"/>
              </w:rPr>
              <w:t>vedomosti týkajúce sa vnútornej kompozície a v neposlednom rade posúva aj úroveň čítania s porozumením vyššie.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E56BC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E56BC" w:rsidP="007B6C7D">
            <w:pPr>
              <w:tabs>
                <w:tab w:val="left" w:pos="1114"/>
              </w:tabs>
              <w:spacing w:after="0" w:line="240" w:lineRule="auto"/>
            </w:pPr>
            <w:r>
              <w:t>11.11.2020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E56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E56BC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AE" w:rsidRDefault="00A402AE" w:rsidP="00CF35D8">
      <w:pPr>
        <w:spacing w:after="0" w:line="240" w:lineRule="auto"/>
      </w:pPr>
      <w:r>
        <w:separator/>
      </w:r>
    </w:p>
  </w:endnote>
  <w:endnote w:type="continuationSeparator" w:id="0">
    <w:p w:rsidR="00A402AE" w:rsidRDefault="00A402A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AE" w:rsidRDefault="00A402AE" w:rsidP="00CF35D8">
      <w:pPr>
        <w:spacing w:after="0" w:line="240" w:lineRule="auto"/>
      </w:pPr>
      <w:r>
        <w:separator/>
      </w:r>
    </w:p>
  </w:footnote>
  <w:footnote w:type="continuationSeparator" w:id="0">
    <w:p w:rsidR="00A402AE" w:rsidRDefault="00A402A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5F18"/>
    <w:multiLevelType w:val="multilevel"/>
    <w:tmpl w:val="B7E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F01C5"/>
    <w:multiLevelType w:val="multilevel"/>
    <w:tmpl w:val="033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C446A8"/>
    <w:multiLevelType w:val="multilevel"/>
    <w:tmpl w:val="A42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B7C54"/>
    <w:rsid w:val="000D4D3E"/>
    <w:rsid w:val="000E174C"/>
    <w:rsid w:val="000E6FBF"/>
    <w:rsid w:val="000F127B"/>
    <w:rsid w:val="0012610A"/>
    <w:rsid w:val="00137050"/>
    <w:rsid w:val="00141DFD"/>
    <w:rsid w:val="00146A33"/>
    <w:rsid w:val="00151F6C"/>
    <w:rsid w:val="00152DC6"/>
    <w:rsid w:val="001544C0"/>
    <w:rsid w:val="001556D3"/>
    <w:rsid w:val="001620FF"/>
    <w:rsid w:val="001745A4"/>
    <w:rsid w:val="00195BD6"/>
    <w:rsid w:val="001A5EA2"/>
    <w:rsid w:val="001B69AF"/>
    <w:rsid w:val="001C7C35"/>
    <w:rsid w:val="001D498E"/>
    <w:rsid w:val="00203036"/>
    <w:rsid w:val="00225CD9"/>
    <w:rsid w:val="00242F5D"/>
    <w:rsid w:val="002779C7"/>
    <w:rsid w:val="002A38CC"/>
    <w:rsid w:val="002A5F75"/>
    <w:rsid w:val="002D7F9B"/>
    <w:rsid w:val="002D7FC6"/>
    <w:rsid w:val="002E3F1A"/>
    <w:rsid w:val="002F788C"/>
    <w:rsid w:val="0034733D"/>
    <w:rsid w:val="003651B3"/>
    <w:rsid w:val="003700F7"/>
    <w:rsid w:val="003857EB"/>
    <w:rsid w:val="003A7838"/>
    <w:rsid w:val="003F10E0"/>
    <w:rsid w:val="003F3FDD"/>
    <w:rsid w:val="00423CC3"/>
    <w:rsid w:val="00446402"/>
    <w:rsid w:val="00475C20"/>
    <w:rsid w:val="004B341F"/>
    <w:rsid w:val="004C05D7"/>
    <w:rsid w:val="004F1C12"/>
    <w:rsid w:val="004F368A"/>
    <w:rsid w:val="00505E56"/>
    <w:rsid w:val="00507CF5"/>
    <w:rsid w:val="0051474A"/>
    <w:rsid w:val="005361EC"/>
    <w:rsid w:val="00540153"/>
    <w:rsid w:val="00541786"/>
    <w:rsid w:val="0055263C"/>
    <w:rsid w:val="00572552"/>
    <w:rsid w:val="00583AF0"/>
    <w:rsid w:val="0058712F"/>
    <w:rsid w:val="00592E27"/>
    <w:rsid w:val="005C355B"/>
    <w:rsid w:val="00624631"/>
    <w:rsid w:val="006377DA"/>
    <w:rsid w:val="00654719"/>
    <w:rsid w:val="00681F84"/>
    <w:rsid w:val="0069437B"/>
    <w:rsid w:val="006951D8"/>
    <w:rsid w:val="006A0237"/>
    <w:rsid w:val="006A3977"/>
    <w:rsid w:val="006B6CBE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7E1F68"/>
    <w:rsid w:val="00801919"/>
    <w:rsid w:val="008058B8"/>
    <w:rsid w:val="00816385"/>
    <w:rsid w:val="00865F49"/>
    <w:rsid w:val="008721DB"/>
    <w:rsid w:val="00874345"/>
    <w:rsid w:val="0088601A"/>
    <w:rsid w:val="008C3B1D"/>
    <w:rsid w:val="008C3C41"/>
    <w:rsid w:val="008C3EE4"/>
    <w:rsid w:val="008F3BBC"/>
    <w:rsid w:val="00910B2B"/>
    <w:rsid w:val="0095572B"/>
    <w:rsid w:val="00960B4D"/>
    <w:rsid w:val="00973707"/>
    <w:rsid w:val="009A2DFC"/>
    <w:rsid w:val="009C3018"/>
    <w:rsid w:val="009F4F76"/>
    <w:rsid w:val="00A260BA"/>
    <w:rsid w:val="00A402AE"/>
    <w:rsid w:val="00A57496"/>
    <w:rsid w:val="00A65F45"/>
    <w:rsid w:val="00A71E3A"/>
    <w:rsid w:val="00A9043F"/>
    <w:rsid w:val="00AB111C"/>
    <w:rsid w:val="00AB4AEC"/>
    <w:rsid w:val="00AD2D26"/>
    <w:rsid w:val="00AD6A81"/>
    <w:rsid w:val="00AF131A"/>
    <w:rsid w:val="00AF5989"/>
    <w:rsid w:val="00B16FB5"/>
    <w:rsid w:val="00B37F81"/>
    <w:rsid w:val="00B440DB"/>
    <w:rsid w:val="00B45D01"/>
    <w:rsid w:val="00B472AA"/>
    <w:rsid w:val="00B71530"/>
    <w:rsid w:val="00BA67BC"/>
    <w:rsid w:val="00BB5601"/>
    <w:rsid w:val="00BC1856"/>
    <w:rsid w:val="00BE6D7F"/>
    <w:rsid w:val="00BF2F35"/>
    <w:rsid w:val="00BF4683"/>
    <w:rsid w:val="00BF4792"/>
    <w:rsid w:val="00C065E1"/>
    <w:rsid w:val="00C235FB"/>
    <w:rsid w:val="00C34600"/>
    <w:rsid w:val="00C45756"/>
    <w:rsid w:val="00CA0B4D"/>
    <w:rsid w:val="00CA771E"/>
    <w:rsid w:val="00CD7D64"/>
    <w:rsid w:val="00CE56BC"/>
    <w:rsid w:val="00CF35D8"/>
    <w:rsid w:val="00D0796E"/>
    <w:rsid w:val="00D17C89"/>
    <w:rsid w:val="00D23828"/>
    <w:rsid w:val="00D5323D"/>
    <w:rsid w:val="00D5619C"/>
    <w:rsid w:val="00D74E73"/>
    <w:rsid w:val="00DA6ABC"/>
    <w:rsid w:val="00DD1AA4"/>
    <w:rsid w:val="00DD39FE"/>
    <w:rsid w:val="00DD751D"/>
    <w:rsid w:val="00E0170E"/>
    <w:rsid w:val="00E24D2F"/>
    <w:rsid w:val="00E36C97"/>
    <w:rsid w:val="00E67A69"/>
    <w:rsid w:val="00E70055"/>
    <w:rsid w:val="00E926D8"/>
    <w:rsid w:val="00EC5730"/>
    <w:rsid w:val="00EE3796"/>
    <w:rsid w:val="00EE4BED"/>
    <w:rsid w:val="00F14970"/>
    <w:rsid w:val="00F305BB"/>
    <w:rsid w:val="00F36E61"/>
    <w:rsid w:val="00F6054B"/>
    <w:rsid w:val="00F61779"/>
    <w:rsid w:val="00FD3420"/>
    <w:rsid w:val="00FE050F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50CC0-9AED-48F0-9D95-2BDF7B2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2020-11-11T17:54:00Z</dcterms:created>
  <dcterms:modified xsi:type="dcterms:W3CDTF">2020-11-30T06:47:00Z</dcterms:modified>
</cp:coreProperties>
</file>